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24 357 vom 11. September 2025</w:t>
      </w:r>
    </w:p>
    <w:p>
      <w:r>
        <w:t>BL Gerichte, 2025-09-11, DE</w:t>
      </w:r>
    </w:p>
    <w:p>
      <w:r>
        <w:rPr>
          <w:b/>
        </w:rPr>
        <w:t xml:space="preserve">Quelle: </w:t>
      </w:r>
      <w:r>
        <w:t>https://mcp.opencaselaw.ch/entscheid/bl_gerichte_725 24 357</w:t>
      </w:r>
    </w:p>
    <w:p>
      <w:r>
        <w:t>FR: BL_GERICHTE 725 24 357 du 11 septembre 2025</w:t>
      </w:r>
    </w:p>
    <w:p>
      <w:r>
        <w:t>IT: BL_GERICHTE 725 24 357 del 11 settembre 2025</w:t>
      </w:r>
    </w:p>
    <w:p>
      <w:pPr>
        <w:pStyle w:val="Heading2"/>
      </w:pPr>
      <w:r>
        <w:t>Regeste</w:t>
      </w:r>
    </w:p>
    <w:p>
      <w:r>
        <w:t>Eine ruckartige Zugbewegung bei der Durchführung einer polizeilichen Zwangsmassnahme erfüllt den Unfallbegriff im Rechtssinne mangels eines ungewöhnlichen äusseren Faktors nicht.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18. November 2024 ist demnach einzutreten. 2.1 Gemäss Art. 6 Abs. 1 UVG hat der Unfallversicherer in der obligatorischen Unfallversicherung, soweit das Gesetz nichts anderes bestimmt, die Versicherungsleistungen bei Berufsunfällen, Nichtberufsunfällen und Berufskrankheiten zu gewähren. Ein Unfall im Sinne dieser Bestimmung ist die plötzliche, nicht beabsichtigte schädigende Einwirkung eines ungewöhnlichen äusseren Faktors auf den menschlichen Körper, die eine Beeinträchtigung der körperlichen oder geistigen Gesundheit oder den Tod zur Folge hat (Art. 4 ATSG). Die Leistungspflicht des Unfallversicherers setzt im Weiteren voraus, dass zwischen dem versicherten Ereignis und dem eingetretenen Schaden (Krankheit, Arbeitsunfähigkeit, Invalidität, Integritätsschädigung) ein natürlicher (vgl. dazu BGE 147 V 161 E. 3.2, 129 V 177 E. 3.1) und ein adäquater Kausalzusammenhang (vgl. dazu BGE 129 V 177 E. 3.2) besteht. 2.2 Nach Art. 6 Abs. 2 UVG erbringt die Versicherung ihre Leistungen auch bei folgenden Körperschädigungen, sofern sie nicht vorwiegend auf Abnützung oder Erkrankung zurückzuführen sind (sog. "unfallähnliche Körperschädigungen" oder "Listenverletzungen"): Knochenbrüche (lit. a), Verrenkungen von Gelenken (lit. b), Meniskusrisse (lit. c), Muskelrisse (lit. d), Muskelzerrungen (lit. e), Sehnenrisse (lit. f), Bandläsionen (lit. g) und Trommelfellverletzungen (lit. h). 2.3 In systematischer Hinsicht ist zu berücksichtigen, dass das Institut der unfallähnlichen Körperschädigung mit der UVG-Revision vom 25. September 2015 (in Kraft seit 1. Januar 2017) neu auf Gesetzesstufe in Art. 6 Abs. 2 UVG verankert wurde. Die Gesetzessystematik legt nahe, dass Abs. 1 (Unfall) und Abs. 2 (Listenverletzung) unabhängig voneinander sind und grundsätzlich jeder Tatbestand einzeln zu prüfen ist (BGE 146 V 51 E. 8.5). 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(BGE 146 V 51 E. 9.1). 2.4 Wie das Bundesgericht mit Urteil vom 10. Juni 2024, 8C_1/2024, unter Hinweis auf den vorstehend erwähnten Entscheid 146 V 51 weiter hervorgehoben hat, führt grundsätzlich bereits die Tatsache, dass eine in Art. 6 Abs. 2 lit. ah UVG genannte Körperschädigung vorliegt, nunmehr zur Vermutung,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Dies setzt voraus, dass er im Rahmen seiner Abklärungspflicht (vgl. Art. 43 Abs. 1 ATSG)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3.2 des genannten Urteils vom 10. Juni 2024, 8C_1/2024, mit weiteren Hinweisen). 3.1 Das sozialversicherungsrechtliche Verwaltungsverfahren und der Sozialversicherungsprozess sind vom Untersuchungsgrundsatz beherrscht (Art. 43 Abs. 1 und Art. 61 lit. c ATSG). Danach haben der Versicherungsträger und das Gericht von Amtes wegen für die richtige und vollständige Feststellung des rechtserheblichen Sachverhalts zu sorgen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25. Juni 2021, 9C_146/2021, E. 3.4 mit Hinweis).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3.2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 4.1 Zwischen den Parteien ist als erstes strittig, ob der Beschwerdeführer am xx.xx.xxxx einen Unfall im oben (vgl. E. 2.1 hiervor) umschriebenen Rechtssinne erlitten hat. Die Beschwerdegegnerin verneint dies mit der Begründung, dass vorliegend das für den Unfallbegriff wesentliche Merkmal des ungewöhnlichen äusseren Faktors nicht gegeben sei. 4.2.1 Der äussere Faktor ist ungewöhnlich, wenn er – nach einem objektiven Massstab – nicht mehr im Rahmen dessen liegt, was für den jeweiligen Lebensbereich alltäglich und üblich ist (BGE 142 V 219 E. 4.3.1, 134 V 72 E. 4.1). Praxisgemäss bezieht sich das Begriffsmerkmal der Ungewöhnlichkeit nicht auf die Wirkung des äusseren Faktors, sondern nur auf diesen selbst. Ohne Belang für die Prüfung der Ungewöhnlichkeit ist somit, dass der äussere Faktor allenfalls schwerwiegende, unerwartete Folgen nach sich zog (Urteil des Bundesgerichts vom 17. September 2020, 8C_368/2020, E. 4.2 mit Hinweisen). 4.2.2 Nach der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Dies trifft beispielsweise dann zu, wenn die versicherte Person stolpert, ausgleitet oder an einem Gegenstand anstösst, oder wenn sie, um ein Ausgleiten zu verhindern, eine reflexartige Abwehrhaltung ausführt oder auszuführen versucht. Das Auftreten von Schmerzen als solches ist demgegenüber kein äusserer (schädigender) Faktor im Sinne der Rechtsprechung. Ebenso taugen Einwirkungen, die aus alltäglichen Vorgängen resultieren, in aller Regel nicht als Ursache einer Gesundheitsschädigung. Ferner ist zu beachten, dass sich der medizinische Begriff des Traumas nicht mit dem versicherungsrechtlichen Unfallbegriff im Sinne von Art. 4 ATSG deckt. Ausschlaggebend ist also, dass sich der äussere Faktor vom Normalmass an Umwelteinwirkungen auf den menschlichen Körper abhebt (Urteil des Bundesgerichts vom 20. September 2022, 8C_24/2022, E. 3.2 mit zahlreichen Hinweisen). 4.3 Zum Ereignis vom xx.xx.xxxx liegen folgende Angaben vor: 4.3.1 In der Unfallmeldung der Arbeitgeberin vom 31. Januar 2024 wird ausgeführt, im Zuge einer polizeilichen Zwangsmassnahme sei es zu einer ruckartigen Zugbewegung im rechten Arm gekommen. Dies habe in den folgenden Stunden zu stetig ansteigenden Schmerzen in der rechten Schulter geführt. 4.3.2 Im online-Formular zum Schadenfall (Versanddatum 9. Februar 2024) führt der Versicherte aus, bei einer polizeilichen Handlung habe sich der Angehaltene zur Wehr gesetzt und dabei sei es zu einer ruckartigen Ziehbewegung gekommen. 4.3.3 In einer Aktennotiz der Suva vom 12. Februar 2024 zu einem Telefonat mit dem Versicherten wird festgehalten, dieser habe das Gleiche mitgeteilt wie im Fragebogen und es habe sich nichts Aussergewöhnliches wie ein Sturz oder Ähnliches ereignet. 4.4 Würdigt man die drei vorhandenen Beschreibungen des fraglichen Ereignisses, so fällt auf, dass der Sachverhalt immer übereinstimmend dargestellt wurde. Insbesondere wird in der Aktennotiz der Suva festgehalten, dass der Beschwerdeführer ausgeführt habe, es sei nichts Aussergewöhnliches geschehen. Auch in der Beschwerde wird nicht vorgebracht, dass diese Schilderungen unvollständig oder sogar falsch gewesen seien. Der Versicherte macht lediglich geltend, es sei überwiegend wahrscheinlich, dass die Polizei dann Zwangsmassnahmen einsetzen müsse, wenn sich der Kontrollierte oder Tatverdächtige gegen die polizeilichen Aufforderungen wehre. Mit anderen Worten sei es zu einer körperlichen Intervention bei einem renitenten Kontrollierten gekommen, der sich gegen die polizeilichen Massnahmen gewehrt habe. Entsprechend bestehe auch ein ungewöhnlicher äusserer Faktor, auf den der Beschwerdeführer habe reagieren müssen und bei welchem es zur ruckartigen Schulterbewegung gekommen sei. Der Auffassung des Beschwerdeführers kann jedoch nicht zugestimmt werden. Aufgrund der Ausführungen des Beschwerdeführers ist vielmehr davon auszugehen, dass beim Ereignis vom xx.xx.xxxx zwar eine ruckartige Zugbewegung ausgeführt wurde, jedoch nichts Aussergewöhnliches vorgefallen ist. Selbst wenn – wie in der Beschwerdeschrift ausgeführt – davon ausgegangen wird, dass sich der Kontrollierte gewehrt hat, stellt dies keinen ungewöhnlichen äusseren Faktor dar. Im Rahmen einer polizeilichen Anhaltung erscheint eine Abwehrhaltung eines Kontrollierten nicht als aussergewöhnlich. Mit der Suva ist daher davon auszugehen, dass vorliegend beim Ereignis vom xx.xx.xxxx der Unfallbegriff im Rechtssinne mangels eines ungewöhnlichen äusseren Faktors nicht erfüllt ist.</w:t>
      </w:r>
    </w:p>
    <w:p>
      <w:r>
        <w:rPr>
          <w:b/>
        </w:rPr>
        <w:t>E. 5</w:t>
      </w:r>
    </w:p>
    <w:p>
      <w:r>
        <w:t>Zu prüfen ist als nächstes, ob eine Leistungspflicht der Beschwerdegegnerin aufgrund des Vorliegens einer in Art. 6 Abs. 2 lit. ah UVG genannten Listenverletzung besteht.</w:t>
      </w:r>
    </w:p>
    <w:p>
      <w:r>
        <w:rPr>
          <w:b/>
        </w:rPr>
        <w:t>E. 5.1</w:t>
      </w:r>
    </w:p>
    <w:p>
      <w:r>
        <w:t>Zur Beurteilung des medizinischen Sachverhalts liegen im Wesentlichen folgende Berichte vor:</w:t>
      </w:r>
    </w:p>
    <w:p>
      <w:r>
        <w:rPr>
          <w:b/>
        </w:rPr>
        <w:t>E. 5.1.1</w:t>
      </w:r>
    </w:p>
    <w:p>
      <w:r>
        <w:t>Im MRI des D.____ vom 1. Februar 2024 wird festgehalten, der Befund sei vereinbar mit einer Läsion des anterosuperioren Labrums, möglicherweise mit Einbezug des Bizepssehnenankers (SLAP-Läsion). Keine Pulley-Läsion. Intakte Rotatorenmanschette, intakte Knorpelschichten, kein Knochenmarködem.</w:t>
      </w:r>
    </w:p>
    <w:p>
      <w:r>
        <w:rPr>
          <w:b/>
        </w:rPr>
        <w:t>E. 5.1.2</w:t>
      </w:r>
    </w:p>
    <w:p>
      <w:r>
        <w:t>Dr. med. E.____, Facharzt für Chirurgie, SP Spezialisierte Traumatologie, kommt am 22. April 2024 zum Schluss, dass es sich um eine SLAP-Läsion handeln könnte. Er lässt eine Zweitmeinung bei Dr. med. F.____, FMH Medizinische Radiologie und Röntgendiagnostik, einholen.</w:t>
      </w:r>
    </w:p>
    <w:p>
      <w:r>
        <w:rPr>
          <w:b/>
        </w:rPr>
        <w:t>E. 5.1.3</w:t>
      </w:r>
    </w:p>
    <w:p>
      <w:r>
        <w:t>Mit Bericht vom 24. April 2024 beurteilt Dr. F.____ den medizinischen Sachverhalt wie folgt: Kleine SLAP-Läsion des Labrums im Bereich des Bizepsanker über diesen nach posterior ziehend, passend zu einem Typ II. Daneben besteht ein Flüssigkeitssaum entlang der Supraspinatussehne, passend zu einer Tendinose im Rahmen des Impingement. Mässige hypertrophe AC-Arthrose.</w:t>
      </w:r>
    </w:p>
    <w:p>
      <w:r>
        <w:rPr>
          <w:b/>
        </w:rPr>
        <w:t>E. 5.1.4</w:t>
      </w:r>
    </w:p>
    <w:p>
      <w:r>
        <w:t>Am 10. Juni 2024 nimmt Dr. E.____ nochmals Stellung. Er diagnostiziert eine Tendinose der Supraspinatussehne sowie eine SLAP-Läsion Typ II.</w:t>
      </w:r>
    </w:p>
    <w:p>
      <w:r>
        <w:rPr>
          <w:b/>
        </w:rPr>
        <w:t>E. 5.1.5</w:t>
      </w:r>
    </w:p>
    <w:p>
      <w:r>
        <w:t>Auf Rückfrage hin führt Dr. E.____ am 28. Juni 2024 aus, beim Versicherten liege radiologisch nachgewiesen eine Tendinose der Supraspinatussehne vor. Dies sei eine degenerative Erkrankung und kein Sehnenriss. Eine mässige hypertrophe AC-Gelenksarthrose sei ebenfalls degenerativ. Arthrosen würden nicht zu den Körperschädigungen gemäss Art. 6 Abs. 2 UVG gehören. Betreffend SLAP-Läsionen sei einzig die SLAP-Läsion Typ IV als Listendiagnose zu werten, dies unter lit. f. (Sehnenriss). SLAP-Läsionen Typ I bis III würden nicht als Listendiagnosen gelten.</w:t>
      </w:r>
    </w:p>
    <w:p>
      <w:r>
        <w:rPr>
          <w:b/>
        </w:rPr>
        <w:t>E. 5.2</w:t>
      </w:r>
    </w:p>
    <w:p>
      <w:r>
        <w:t>Die vorliegenden medizinischen Unterlagen sind nachvollziehbar und schlüssig, weshalb sich keine weiteren medizinischen Abklärungen als notwendig erweisen. Was die diagnostizierte Tendinose der Supraspinatussehne und die AC-Gelenksarthrose anbelangt, so sind diese als degenerative Erkrankungen einzustufen, jedenfalls nicht als Schädigungen gemäss Art. 6 Abs. 2 UVG. In Bezug auf die SLAP-Läsion ist mit der Vorinstanz festzuhalten, dass diese gemäss bundesgerichtlicher Rechtsprechung keine Listenverletzung im Sinne von Art. 6 Abs. 2 UVG darstellt (vgl. Urteile des Bundesgerichts vom 20. Juni 2023, 8C_135/2023, E. 5.1 und vom 28. Januar 2014, 8C_835/2013, E. 4). Demzufolge ergibt sich, dass keine unfallähnliche Körperschädigung vorliegt.</w:t>
      </w:r>
    </w:p>
    <w:p>
      <w:r>
        <w:rPr>
          <w:b/>
        </w:rPr>
        <w:t>E. 6</w:t>
      </w:r>
    </w:p>
    <w:p>
      <w:r>
        <w:t>Des Weiteren bringt der Beschwerdeführer vor, dass der Sachverhalt ungenügend abgeklärt worden sei. Diesbezüglich ist festzuhalten, dass der Sachverhalt in der Schadenmeldung des Arbeitgebers vom 31. Januar 2024, im online-Formular zum Schadenfall vom 9. Februar 2024 wie auch in der Aktennotiz der Suva zum Telefonat vom 12. Februar 2024 mit dem Beschwerdeführer geschildert wurde. Aus diesen Schilderungen des Schadenereignisses ergeben sich keine Unstimmigkeiten. Der Sachverhalt wurde immer gleichlautend geschildert und der Beschwerdeführer hat dabei festgehalten, dass sich nichts Aussergewöhnliches ereignet habe. Eine anderslautende Sachverhaltsschilderung wird auch in der Beschwerdeschrift nicht dargetan. Weitere Abklärungen sind somit nicht angezeigt, da von solchen im Sinne einer antizipierten Beweiswürdigung (vgl. dazu Urteil des Bundesgerichts vom 31. Januar 2023, 8C_330/2022, E. 4 mit Hinweis auf BGE 134 I 140) keine weiteren Erkenntnisse zu erwarten sind.</w:t>
      </w:r>
    </w:p>
    <w:p>
      <w:r>
        <w:rPr>
          <w:b/>
        </w:rPr>
        <w:t>E. 7</w:t>
      </w:r>
    </w:p>
    <w:p>
      <w:r>
        <w:t>Gestützt auf die obigen Erwägungen ergibt sich, dass die Beschwerdegegnerin zu Recht keine Leistungen für das Ereignis vom xx.xx.xxxx erbracht hat. Die vorliegende Beschwerde ist folglich abzuweisen.</w:t>
      </w:r>
    </w:p>
    <w:p>
      <w:r>
        <w:rPr>
          <w:b/>
        </w:rPr>
        <w:t>E. 8</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(vgl. Art. 61 lit. g ATSG). Demgemäss wird erkannt :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